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rFonts w:ascii="Arial" w:cs="Arial" w:eastAsia="Arial" w:hAnsi="Arial"/>
          <w:b/>
          <w:bCs/>
          <w:color w:val="F07E26"/>
          <w:spacing w:val="80"/>
          <w:sz w:val="18"/>
          <w:szCs w:val="18"/>
        </w:rPr>
        <w:t xml:space="preserve">THE ELISCHER FOUNDATION</w:t>
      </w:r>
    </w:p>
    <w:p>
      <w:pPr>
        <w:spacing w:after="0" w:before="80"/>
      </w:pPr>
      <w:r>
        <w:rPr>
          <w:rFonts w:ascii="Arial" w:cs="Arial" w:eastAsia="Arial" w:hAnsi="Arial"/>
          <w:i/>
          <w:iCs/>
          <w:color w:val="484848"/>
          <w:sz w:val="22"/>
          <w:szCs w:val="22"/>
        </w:rPr>
        <w:t xml:space="preserve">Talent. Passion. Purpose.</w:t>
      </w:r>
    </w:p>
    <w:p>
      <w:pPr>
        <w:spacing w:after="80" w:before="720"/>
      </w:pPr>
      <w:r>
        <w:rPr>
          <w:rFonts w:ascii="Arial" w:cs="Arial" w:eastAsia="Arial" w:hAnsi="Arial"/>
          <w:b/>
          <w:bCs/>
          <w:color w:val="000000"/>
          <w:sz w:val="44"/>
          <w:szCs w:val="44"/>
        </w:rPr>
        <w:t xml:space="preserve">Terms of engagement</w:t>
      </w:r>
    </w:p>
    <w:p>
      <w:pPr>
        <w:spacing w:after="80" w:before="0"/>
      </w:pPr>
      <w:r>
        <w:rPr>
          <w:rFonts w:ascii="Arial" w:cs="Arial" w:eastAsia="Arial" w:hAnsi="Arial"/>
          <w:b/>
          <w:bCs/>
          <w:color w:val="E94E1B"/>
          <w:sz w:val="30"/>
          <w:szCs w:val="30"/>
        </w:rPr>
        <w:t xml:space="preserve">Freelance Development Manager</w:t>
      </w:r>
    </w:p>
    <w:p>
      <w:pPr>
        <w:spacing w:after="0" w:before="80"/>
      </w:pPr>
      <w:r>
        <w:rPr>
          <w:rFonts w:ascii="Arial" w:cs="Arial" w:eastAsia="Arial" w:hAnsi="Arial"/>
          <w:color w:val="484848"/>
          <w:sz w:val="22"/>
          <w:szCs w:val="22"/>
        </w:rPr>
        <w:t xml:space="preserve">Companion to the Invitation to Tender — March 2026</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These terms sit alongside the Invitation to Tender (Assignment Brief) for the Development Manager role and form the contract between The Elischer Foundation and the appointed contractor. Read them together with that document — the brief describes the work, these terms describe the engagement.</w:t>
      </w:r>
    </w:p>
    <w:p>
      <w:r>
        <w:br w:type="page"/>
      </w:r>
    </w:p>
    <w:p>
      <w:pPr>
        <w:pStyle w:val="Heading1"/>
        <w:spacing w:after="160" w:before="360"/>
      </w:pPr>
      <w:r>
        <w:rPr>
          <w:rFonts w:ascii="Arial" w:cs="Arial" w:eastAsia="Arial" w:hAnsi="Arial"/>
          <w:b/>
          <w:bCs/>
          <w:color w:val="000000"/>
          <w:sz w:val="30"/>
          <w:szCs w:val="30"/>
        </w:rPr>
        <w:t xml:space="preserve">1. Status of the engagement</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This is a contractor engagement. The Development Manager is not an employee of The Elischer Foundation. The contractor is responsible for their own tax, national insurance and any other statutory obligations. The Foundation will not provide employee benefits, paid leave or pension contributions.</w:t>
      </w:r>
    </w:p>
    <w:p>
      <w:pPr>
        <w:spacing w:after="80" w:before="80" w:line="300"/>
      </w:pPr>
      <w:r>
        <w:rPr>
          <w:rFonts w:ascii="Arial" w:cs="Arial" w:eastAsia="Arial" w:hAnsi="Arial"/>
          <w:color w:val="484848"/>
          <w:sz w:val="22"/>
          <w:szCs w:val="22"/>
        </w:rPr>
        <w:t xml:space="preserve">The contractor is expected to hold professional indemnity insurance (or equivalent cover) for the duration of the assignment, and to confirm this in writing at start-up.</w:t>
      </w:r>
    </w:p>
    <w:p>
      <w:pPr>
        <w:pStyle w:val="Heading1"/>
        <w:spacing w:after="160" w:before="360"/>
      </w:pPr>
      <w:r>
        <w:rPr>
          <w:rFonts w:ascii="Arial" w:cs="Arial" w:eastAsia="Arial" w:hAnsi="Arial"/>
          <w:b/>
          <w:bCs/>
          <w:color w:val="000000"/>
          <w:sz w:val="30"/>
          <w:szCs w:val="30"/>
        </w:rPr>
        <w:t xml:space="preserve">2. Fees, expenses and VAT</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The agreed day rate is £325 a day, inclusive of VAT where applicable. This position is held until the Fundraising and Communications Committee revisits the role budget — if that changes during the assignment, both parties will agree any update in writing.</w:t>
      </w:r>
    </w:p>
    <w:p>
      <w:pPr>
        <w:spacing w:after="80" w:before="80" w:line="300"/>
      </w:pPr>
      <w:r>
        <w:rPr>
          <w:rFonts w:ascii="Arial" w:cs="Arial" w:eastAsia="Arial" w:hAnsi="Arial"/>
          <w:color w:val="484848"/>
          <w:sz w:val="22"/>
          <w:szCs w:val="22"/>
        </w:rPr>
        <w:t xml:space="preserve">Invoices are submitted monthly in arrears. Payment is made within 30 days of receipt of a valid invoice.</w:t>
      </w:r>
    </w:p>
    <w:p>
      <w:pPr>
        <w:spacing w:after="80" w:before="80" w:line="300"/>
      </w:pPr>
      <w:r>
        <w:rPr>
          <w:rFonts w:ascii="Arial" w:cs="Arial" w:eastAsia="Arial" w:hAnsi="Arial"/>
          <w:color w:val="484848"/>
          <w:sz w:val="22"/>
          <w:szCs w:val="22"/>
        </w:rPr>
        <w:t xml:space="preserve">Reasonable, pre-approved expenses incurred in delivering the assignment will be reimbursed on production of receipts, in line with the Foundation’s expenses policy.</w:t>
      </w:r>
    </w:p>
    <w:p>
      <w:pPr>
        <w:pStyle w:val="Heading1"/>
        <w:spacing w:after="160" w:before="360"/>
      </w:pPr>
      <w:r>
        <w:rPr>
          <w:rFonts w:ascii="Arial" w:cs="Arial" w:eastAsia="Arial" w:hAnsi="Arial"/>
          <w:b/>
          <w:bCs/>
          <w:color w:val="000000"/>
          <w:sz w:val="30"/>
          <w:szCs w:val="30"/>
        </w:rPr>
        <w:t xml:space="preserve">3. Duration, start date and review</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The assignment runs for six months from 1 July 2026, ending on or around 31 December 2026, subject to the outcome of the three-month review.</w:t>
      </w:r>
    </w:p>
    <w:p>
      <w:pPr>
        <w:spacing w:after="80" w:before="80" w:line="300"/>
      </w:pPr>
      <w:r>
        <w:rPr>
          <w:rFonts w:ascii="Arial" w:cs="Arial" w:eastAsia="Arial" w:hAnsi="Arial"/>
          <w:color w:val="484848"/>
          <w:sz w:val="22"/>
          <w:szCs w:val="22"/>
        </w:rPr>
        <w:t xml:space="preserve">A formal review will take place during the week of 28 September 2026, jointly conducted by the Chair of the Fundraising and Communications Committee, the Director, and the Chair of the Governance Committee. The review focuses on the indicators set out in Appendix A of the Invitation to Tender.</w:t>
      </w:r>
    </w:p>
    <w:p>
      <w:pPr>
        <w:spacing w:after="80" w:before="80" w:line="300"/>
      </w:pPr>
      <w:r>
        <w:rPr>
          <w:rFonts w:ascii="Arial" w:cs="Arial" w:eastAsia="Arial" w:hAnsi="Arial"/>
          <w:color w:val="484848"/>
          <w:sz w:val="22"/>
          <w:szCs w:val="22"/>
        </w:rPr>
        <w:t xml:space="preserve">Following the review, the Foundation may continue the assignment on the current terms, adjust the scope or pattern, or conclude the engagement early. Reasonable notice will be given for any change.</w:t>
      </w:r>
    </w:p>
    <w:p>
      <w:pPr>
        <w:pStyle w:val="Heading1"/>
        <w:spacing w:after="160" w:before="360"/>
      </w:pPr>
      <w:r>
        <w:rPr>
          <w:rFonts w:ascii="Arial" w:cs="Arial" w:eastAsia="Arial" w:hAnsi="Arial"/>
          <w:b/>
          <w:bCs/>
          <w:color w:val="000000"/>
          <w:sz w:val="30"/>
          <w:szCs w:val="30"/>
        </w:rPr>
        <w:t xml:space="preserve">4. Working pattern</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The Development Manager works two days a week. Specific days are agreed with the Director and may flex by mutual agreement to accommodate meetings, events and deadlines.</w:t>
      </w:r>
    </w:p>
    <w:p>
      <w:pPr>
        <w:spacing w:after="80" w:before="80" w:line="300"/>
      </w:pPr>
      <w:r>
        <w:rPr>
          <w:rFonts w:ascii="Arial" w:cs="Arial" w:eastAsia="Arial" w:hAnsi="Arial"/>
          <w:color w:val="484848"/>
          <w:sz w:val="22"/>
          <w:szCs w:val="22"/>
        </w:rPr>
        <w:t xml:space="preserve">Because the assignment begins in July, we expect the working pattern to flex across July and August around trust and partner availability, and we are equally open to flex around school holidays for caring responsibilities. The principle is that effort is concentrated where it produces decisions.</w:t>
      </w:r>
    </w:p>
    <w:p>
      <w:pPr>
        <w:spacing w:after="80" w:before="80" w:line="300"/>
      </w:pPr>
      <w:r>
        <w:rPr>
          <w:rFonts w:ascii="Arial" w:cs="Arial" w:eastAsia="Arial" w:hAnsi="Arial"/>
          <w:color w:val="484848"/>
          <w:sz w:val="22"/>
          <w:szCs w:val="22"/>
        </w:rPr>
        <w:t xml:space="preserve">The role is hybrid: remote working with in-person attendance where it adds value.</w:t>
      </w:r>
    </w:p>
    <w:p>
      <w:pPr>
        <w:pStyle w:val="Heading1"/>
        <w:spacing w:after="160" w:before="360"/>
      </w:pPr>
      <w:r>
        <w:rPr>
          <w:rFonts w:ascii="Arial" w:cs="Arial" w:eastAsia="Arial" w:hAnsi="Arial"/>
          <w:b/>
          <w:bCs/>
          <w:color w:val="000000"/>
          <w:sz w:val="30"/>
          <w:szCs w:val="30"/>
        </w:rPr>
        <w:t xml:space="preserve">5. Notice and termination</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Either party may terminate this engagement by giving two weeks’ written notice.</w:t>
      </w:r>
    </w:p>
    <w:p>
      <w:pPr>
        <w:spacing w:after="80" w:before="80" w:line="300"/>
      </w:pPr>
      <w:r>
        <w:rPr>
          <w:rFonts w:ascii="Arial" w:cs="Arial" w:eastAsia="Arial" w:hAnsi="Arial"/>
          <w:color w:val="484848"/>
          <w:sz w:val="22"/>
          <w:szCs w:val="22"/>
        </w:rPr>
        <w:t xml:space="preserve">The Foundation reserves the right to terminate the engagement immediately if there is a material breach of these terms, or conduct that is incompatible with the Foundation’s values or policies.</w:t>
      </w:r>
    </w:p>
    <w:p>
      <w:pPr>
        <w:pStyle w:val="Heading1"/>
        <w:spacing w:after="160" w:before="360"/>
      </w:pPr>
      <w:r>
        <w:rPr>
          <w:rFonts w:ascii="Arial" w:cs="Arial" w:eastAsia="Arial" w:hAnsi="Arial"/>
          <w:b/>
          <w:bCs/>
          <w:color w:val="000000"/>
          <w:sz w:val="30"/>
          <w:szCs w:val="30"/>
        </w:rPr>
        <w:t xml:space="preserve">6. Confidentiality</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The Development Manager will see confidential information about our strategy, finances, supporters and beneficiaries. All such information must be treated as confidential and not disclosed to any third party without the prior written consent of the Director or the Chair. This obligation continues after the engagement ends.</w:t>
      </w:r>
    </w:p>
    <w:p>
      <w:pPr>
        <w:pStyle w:val="Heading1"/>
        <w:spacing w:after="160" w:before="360"/>
      </w:pPr>
      <w:r>
        <w:rPr>
          <w:rFonts w:ascii="Arial" w:cs="Arial" w:eastAsia="Arial" w:hAnsi="Arial"/>
          <w:b/>
          <w:bCs/>
          <w:color w:val="000000"/>
          <w:sz w:val="30"/>
          <w:szCs w:val="30"/>
        </w:rPr>
        <w:t xml:space="preserve">7. Intellectual property</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All materials, documents, plans and strategies produced during the assignment are the property of The Elischer Foundation.</w:t>
      </w:r>
    </w:p>
    <w:p>
      <w:pPr>
        <w:pStyle w:val="Heading1"/>
        <w:spacing w:after="160" w:before="360"/>
      </w:pPr>
      <w:r>
        <w:rPr>
          <w:rFonts w:ascii="Arial" w:cs="Arial" w:eastAsia="Arial" w:hAnsi="Arial"/>
          <w:b/>
          <w:bCs/>
          <w:color w:val="000000"/>
          <w:sz w:val="30"/>
          <w:szCs w:val="30"/>
        </w:rPr>
        <w:t xml:space="preserve">8. Data protection</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The Development Manager will comply with the Foundation’s data protection policies and with all applicable data protection legislation (UK GDPR and the Data Protection Act 2018). Personal data accessed or processed during the assignment will be handled in line with those requirements.</w:t>
      </w:r>
    </w:p>
    <w:p>
      <w:pPr>
        <w:pStyle w:val="Heading1"/>
        <w:spacing w:after="160" w:before="360"/>
      </w:pPr>
      <w:r>
        <w:rPr>
          <w:rFonts w:ascii="Arial" w:cs="Arial" w:eastAsia="Arial" w:hAnsi="Arial"/>
          <w:b/>
          <w:bCs/>
          <w:color w:val="000000"/>
          <w:sz w:val="30"/>
          <w:szCs w:val="30"/>
        </w:rPr>
        <w:t xml:space="preserve">9. Sign-off</w:t>
      </w:r>
    </w:p>
    <w:p>
      <w:pPr>
        <w:pBdr>
          <w:bottom w:val="single" w:color="F07E26" w:sz="24" w:space="1"/>
        </w:pBdr>
        <w:spacing w:after="200" w:before="80"/>
      </w:pPr>
      <w:r>
        <w:rPr>
          <w:sz w:val="2"/>
          <w:szCs w:val="2"/>
        </w:rPr>
        <w:t xml:space="preserve"/>
      </w:r>
    </w:p>
    <w:p>
      <w:pPr>
        <w:spacing w:after="80" w:before="80" w:line="300"/>
      </w:pPr>
      <w:r>
        <w:rPr>
          <w:rFonts w:ascii="Arial" w:cs="Arial" w:eastAsia="Arial" w:hAnsi="Arial"/>
          <w:color w:val="484848"/>
          <w:sz w:val="22"/>
          <w:szCs w:val="22"/>
        </w:rPr>
        <w:t xml:space="preserve">By signing below, both parties confirm their agreement to the terms set out in this document and in the linked Invitation to Tender.</w:t>
      </w:r>
    </w:p>
    <w:p>
      <w:pPr>
        <w:spacing w:after="120" w:before="120"/>
      </w:pPr>
      <w:r>
        <w:rPr>
          <w:sz w:val="8"/>
          <w:szCs w:val="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DDDD" w:sz="1"/>
              <w:left w:val="single" w:color="DDDDDD" w:sz="1"/>
              <w:bottom w:val="single" w:color="DDDDDD" w:sz="1"/>
              <w:right w:val="single" w:color="DDDDDD" w:sz="1"/>
            </w:tcBorders>
            <w:shd w:fill="FAF9F5" w:val="clear"/>
            <w:tcMar>
              <w:top w:type="dxa" w:w="160"/>
              <w:left w:type="dxa" w:w="140"/>
              <w:bottom w:type="dxa" w:w="160"/>
              <w:right w:type="dxa" w:w="140"/>
            </w:tcMar>
          </w:tcPr>
          <w:p>
            <w:r>
              <w:rPr>
                <w:rFonts w:ascii="Arial" w:cs="Arial" w:eastAsia="Arial" w:hAnsi="Arial"/>
                <w:b/>
                <w:bCs/>
                <w:color w:val="000000"/>
                <w:sz w:val="22"/>
                <w:szCs w:val="22"/>
              </w:rPr>
              <w:t xml:space="preserve">For The Elischer Foundation</w:t>
            </w:r>
          </w:p>
        </w:tc>
        <w:tc>
          <w:tcPr>
            <w:tcW w:type="dxa" w:w="4680"/>
            <w:tcBorders>
              <w:top w:val="single" w:color="DDDDDD" w:sz="1"/>
              <w:left w:val="single" w:color="DDDDDD" w:sz="1"/>
              <w:bottom w:val="single" w:color="DDDDDD" w:sz="1"/>
              <w:right w:val="single" w:color="DDDDDD" w:sz="1"/>
            </w:tcBorders>
            <w:shd w:fill="FAF9F5" w:val="clear"/>
            <w:tcMar>
              <w:top w:type="dxa" w:w="160"/>
              <w:left w:type="dxa" w:w="140"/>
              <w:bottom w:type="dxa" w:w="160"/>
              <w:right w:type="dxa" w:w="140"/>
            </w:tcMar>
          </w:tcPr>
          <w:p>
            <w:r>
              <w:rPr>
                <w:rFonts w:ascii="Arial" w:cs="Arial" w:eastAsia="Arial" w:hAnsi="Arial"/>
                <w:b/>
                <w:bCs/>
                <w:color w:val="000000"/>
                <w:sz w:val="22"/>
                <w:szCs w:val="22"/>
              </w:rPr>
              <w:t xml:space="preserve">For the Development Manager</w:t>
            </w:r>
          </w:p>
        </w:tc>
      </w:tr>
      <w:tr>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Signed:</w:t>
            </w:r>
          </w:p>
        </w:tc>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Signed:</w:t>
            </w:r>
          </w:p>
        </w:tc>
      </w:tr>
      <w:tr>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Name:</w:t>
            </w:r>
          </w:p>
        </w:tc>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Name:</w:t>
            </w:r>
          </w:p>
        </w:tc>
      </w:tr>
      <w:tr>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Role:</w:t>
            </w:r>
          </w:p>
        </w:tc>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Role:</w:t>
            </w:r>
          </w:p>
        </w:tc>
      </w:tr>
      <w:tr>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Date:</w:t>
            </w:r>
          </w:p>
        </w:tc>
        <w:tc>
          <w:tcPr>
            <w:tcW w:type="dxa" w:w="4680"/>
            <w:tcBorders>
              <w:top w:val="single" w:color="DDDDDD" w:sz="1"/>
              <w:left w:val="single" w:color="DDDDDD" w:sz="1"/>
              <w:bottom w:val="single" w:color="DDDDDD" w:sz="1"/>
              <w:right w:val="single" w:color="DDDDDD" w:sz="1"/>
            </w:tcBorders>
            <w:tcMar>
              <w:top w:type="dxa" w:w="160"/>
              <w:left w:type="dxa" w:w="140"/>
              <w:bottom w:type="dxa" w:w="160"/>
              <w:right w:type="dxa" w:w="140"/>
            </w:tcMar>
          </w:tcPr>
          <w:p>
            <w:r>
              <w:rPr>
                <w:rFonts w:ascii="Arial" w:cs="Arial" w:eastAsia="Arial" w:hAnsi="Arial"/>
                <w:b w:val="false"/>
                <w:bCs w:val="false"/>
                <w:color w:val="484848"/>
                <w:sz w:val="22"/>
                <w:szCs w:val="22"/>
              </w:rPr>
              <w:t xml:space="preserve">Date:</w:t>
            </w:r>
          </w:p>
        </w:tc>
      </w:tr>
    </w:tbl>
    <w:p>
      <w:pPr>
        <w:pBdr>
          <w:bottom w:val="single" w:color="F07E26" w:sz="24" w:space="1"/>
        </w:pBdr>
        <w:spacing w:after="200" w:before="80"/>
      </w:pPr>
      <w:r>
        <w:rPr>
          <w:sz w:val="2"/>
          <w:szCs w:val="2"/>
        </w:rPr>
        <w:t xml:space="preserve"/>
      </w:r>
    </w:p>
    <w:p>
      <w:pPr>
        <w:spacing w:before="240"/>
      </w:pPr>
      <w:r>
        <w:rPr>
          <w:rFonts w:ascii="Arial" w:cs="Arial" w:eastAsia="Arial" w:hAnsi="Arial"/>
          <w:i/>
          <w:iCs/>
          <w:color w:val="999999"/>
          <w:sz w:val="18"/>
          <w:szCs w:val="18"/>
        </w:rPr>
        <w:t xml:space="preserve">The Elischer Foundation · Registered Charity in England &amp; Wales No 1177029 · elischerfoundation.org</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color w:val="999999"/>
        <w:sz w:val="18"/>
        <w:szCs w:val="18"/>
      </w:rPr>
      <w:t xml:space="preserve">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8"/>
        <w:szCs w:val="18"/>
      </w:rPr>
      <w:t xml:space="preserve">The Elischer Foundation · Development Manager · Terms of Engagement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0000"/>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E94E1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TEF Development Manager — Terms of Engagement</dc:title>
  <dc:creator>The Elischer Foundation</dc:creator>
  <cp:lastModifiedBy>Un-named</cp:lastModifiedBy>
  <cp:revision>1</cp:revision>
  <dcterms:created xsi:type="dcterms:W3CDTF">2026-06-02T13:14:59.800Z</dcterms:created>
  <dcterms:modified xsi:type="dcterms:W3CDTF">2026-06-02T13:14:59.801Z</dcterms:modified>
</cp:coreProperties>
</file>

<file path=docProps/custom.xml><?xml version="1.0" encoding="utf-8"?>
<Properties xmlns="http://schemas.openxmlformats.org/officeDocument/2006/custom-properties" xmlns:vt="http://schemas.openxmlformats.org/officeDocument/2006/docPropsVTypes"/>
</file>